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63 vom 17. September 2010</w:t>
      </w:r>
    </w:p>
    <w:p>
      <w:r>
        <w:t>VS Kantonsgericht, 2010-09-17, DE</w:t>
      </w:r>
    </w:p>
    <w:p>
      <w:r>
        <w:rPr>
          <w:b/>
        </w:rPr>
        <w:t xml:space="preserve">Quelle: </w:t>
      </w:r>
      <w:r>
        <w:t>https://mcp.opencaselaw.ch/entscheid/vs_gerichte_C1 10 63</w:t>
      </w:r>
    </w:p>
    <w:p>
      <w:r>
        <w:t>FR: VS_GERICHTE C1 10 63 du 17 septembre 2010</w:t>
      </w:r>
    </w:p>
    <w:p>
      <w:r>
        <w:t>IT: VS_GERICHTE C1 10 63 del 17 settembre 2010</w:t>
      </w:r>
    </w:p>
    <w:p>
      <w:pPr>
        <w:pStyle w:val="Heading2"/>
      </w:pPr>
      <w:r>
        <w:t>Regeste</w:t>
      </w:r>
    </w:p>
    <w:p>
      <w:r>
        <w:t>RVJ / ZWR 2011 335 Obligationenrecht - Verjährung - Unterhaltsforderung des Kindes - KGE (Kas- sationsbehörde) vom 17. September 2010, X. c. Y. - TCV C1 10 63 Verjährung von Unterhaltsforderungen Keine Verjährung der Forderungen des Kindes gegen die Eltern während der elter- lichen Sorge (Art. 134 Abs. 1 Ziff. 1 OR; E. 2b und c). Ref. CH: Art. 134 OR Ref. VS: - Prescription des prétentions d’entretien Il n’y a aucune prescription des créances de l’enfant à l’encontre des parents tant que dure l’autorité parentale (art. 134 al. 1 ch. 1 CO; consid. 2b et c). Réf. CH: art. 134 CO Réf. VS: - Aus den Erwägungen (...) 2. b) Der Vater und/oder die Mutter, Inhaber der elterlichen Sorge (Art. 297, 298 und 298a ZGB), haben für den Unterhalt des Kindes auf- zukommen (Art. 276 ff. ZGB) und das Kindesvermögen zu verwalten</w:t>
      </w:r>
    </w:p>
    <w:p>
      <w:pPr>
        <w:pStyle w:val="Heading2"/>
      </w:pPr>
      <w:r>
        <w:t>Volltext</w:t>
      </w:r>
    </w:p>
    <w:p>
      <w:r>
        <w:t>RVJ / ZWR 2011 335 Obligationenrecht - Verjährung - Unterhaltsforderung des Kindes - KGE (Kas- sationsbehörde) vom 17. September 2010, X. c. Y. - TCV C1 10 63 Verjährung von Unterhaltsforderungen Keine Verjährung der Forderungen des Kindes gegen die Eltern während der elter- lichen Sorge (Art. 134 Abs. 1 Ziff. 1 OR; E. 2b und c). Ref. CH: Art. 134 OR Ref. VS: - Prescription des prétentions d’entretien Il n’y a aucune prescription des créances de l’enfant à l’encontre des parents tant que dure l’autorité parentale (art. 134 al. 1 ch. 1 CO; consid. 2b et c). Réf. CH: art. 134 CO Réf. VS: - Aus den Erwägungen (...) 2. b) Der Vater und/oder die Mutter, Inhaber der elterlichen Sorge (Art. 297, 298 und 298a ZGB), haben für den Unterhalt des Kindes auf- zukommen (Art. 276 ff. ZGB) und das Kindesvermögen zu verwalten (Art. 318 OR). Nach Art. 134 Abs. 1 Ziff. 1 OR beginnt die Verjährung für Forderungen der Kinder gegen die Eltern «während der Dauer der elter- lichen Sorge» nicht und steht still, falls sie begonnen hat. Solche Forde- rungen des Kindes gegen seine Eltern verjähren also nicht, bis die elter- liche Sorge entfällt (Art. 296 ZGB), entzogen (Art. 311 ZGB) oder einzig dem anderen Elternteil übertragen wird (Art. 298 ZGB; Pichonnaz, Commentaire Romand, Code des obligations I, N. 3 zu Art. 134 OR). Mit dieser Regelung will der Gesetzgeber «Störungen des Pietätsverhältnis- ses» vermeiden (Becker, Berner Kommentar, N. 4 zu 134 OR), denn es wäre unbillig, den Gläubiger auch für jene Zeitspanne die Folgen einer laufenden Verjährung spüren zu lassen, in denen seine Scheu, eine For- derung zwangsweise durchzusetzen, angesichts der Natur des zwi- schen Gläubiger und Schuldner bestehenden Rechtsverhältnisses nachvollziehbar ist (BGE 134 III 295 E. 2.1). Diese enge persönliche Beziehung besteht nun aber nach dem Wortlaut des Gesetzes und der angeführten Literatur einzig mit dem Elternteil, welcher die elterliche Sorge innehat und nur während der Dauer derselben. Dem nicht die elterliche Sorge innehabenden Elternteil gegenüber besteht eine sol- che Hemmung nicht. KGVS C1 10 63</w:t>
      </w:r>
    </w:p>
    <w:p>
      <w:r>
        <w:t>c) Aus dem hinterlegten Entscheid des Bezirksgerichts Siders vom 26. Mai 1992 i.S. D. c. X., den der Rechtsöffnungsrichter als defi- nitiven Rechtsöffnungstitel betrachtete und mithin dessen Titelquali- tät prüfte, geht zweifelsfrei hervor, dass die Eltern von D. nicht verhei- ratet sind und somit die elterliche Sorge nur der Mutter zusteht (Art. 289 Abs. 1 ZGB), ansonsten ja dem Vater kein Besuchsrecht ein- geräumt worden wäre. Für die Annahme, dass dem Nichtigkeitskläger trotz alledem die elterliche Sorge übertragen worden ist, fehlen jegli- che Anhaltspunkte, was denn auch die Nichtigkeitsbeklagte in ihrer Stellungnahme vom 17. Juni 2010 nicht geltend machte. Demgemäss ist Art. 134 Abs. 1 Ziff. 1 OR auf die Unterhaltsforderungen von D. gegenüber dem Nichtigkeitskläger nicht anwendbar und somit die Verjährung nicht gehemmt. Indem der Rechtsöffnungsrichter Art. 134 Abs. 1 Ziff. 1 OR für anwendbar hielt, hat er klares materielles Recht verletzt. Gemäss Entscheid vom 26. Mai 1992 ist der Unterhaltsbeitrag im Voraus zu Beginn des Monats zu entrichten. Dieser Zeitpunkt bestimmt gleichzeitig die Entstehung und die Fälligkeit der einzelnen Beitragsfor- derung. Mit der Fälligkeit beginnt die fünfjährige Verjährungsfrist gemäss Art. 128 Ziff. 1 OR zu laufen (Hegnauer, Grundriss des Kindes- rechts, 5. A., Bern 1999, N. 23.03) und demnach waren die betriebenen Unterhaltsbeiträge für die Jahre 1999, 2000 und 2001 bei Zustellung des Zahlungsbefehls am 17. Dezember 2009 verjährt. Eine Unterbrechung der Verjährung hat die Nichtigkeitsbeklagte nicht glaubhaft gemacht (zur Beweislast vgl. Däppen, Basler Kommentar, N. 23 zu Art. 135 OR), denn die diesbezüglichen Vorbringen sind nicht schlüssig, da sie zum einen geltend macht, seit anfangs 1999 seien regelmässig Abschlags- zahlungen geleistet worden, und zum andern den Nachweis der Tilgung der Beiträge für die Jahre 1999 bis 2001 nicht für erbracht hält. Abge- sehen davon ist die Bezahlung laufender Beiträge nicht Abschlagszah- lung auf rückständige Beiträge und unterbricht deren Verjährung nicht im Sinn von Art. 135 Ziff. 1 OR (Hegnauer, Berner Kommentar, N. 25 zu Art. 289 ZGB). Indem der Rechtsöffnungsrichter Art. 134 Abs. 1 Ziff. 1 OR angewendet und infolgedessen die Verjährung der betriebenen For- derungen verneint und hierfür die definitive Rechtsöffnung gewährt hat, hat er klares materielles Recht verletzt. 336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